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6C" w:rsidRPr="00CB3947" w:rsidRDefault="005B6816" w:rsidP="0089206C">
      <w:pPr>
        <w:jc w:val="center"/>
        <w:rPr>
          <w:rFonts w:ascii="Arial" w:hAnsi="Arial" w:cs="Arial"/>
          <w:b/>
          <w:color w:val="005EB8"/>
          <w:sz w:val="32"/>
          <w:szCs w:val="40"/>
        </w:rPr>
      </w:pPr>
      <w:r w:rsidRPr="00CB3947">
        <w:rPr>
          <w:rFonts w:ascii="Arial" w:hAnsi="Arial" w:cs="Arial"/>
          <w:b/>
          <w:color w:val="005EB8"/>
          <w:sz w:val="32"/>
          <w:szCs w:val="40"/>
        </w:rPr>
        <w:t xml:space="preserve">Action card: </w:t>
      </w:r>
      <w:r w:rsidR="00D558B0">
        <w:rPr>
          <w:rFonts w:ascii="Arial" w:hAnsi="Arial" w:cs="Arial"/>
          <w:b/>
          <w:color w:val="005EB8"/>
          <w:sz w:val="32"/>
          <w:szCs w:val="40"/>
        </w:rPr>
        <w:t>SpRs</w:t>
      </w:r>
    </w:p>
    <w:p w:rsidR="0034068C" w:rsidRPr="0034068C" w:rsidRDefault="0034068C" w:rsidP="0034068C">
      <w:pPr>
        <w:rPr>
          <w:rFonts w:ascii="Arial" w:hAnsi="Arial" w:cs="Arial"/>
          <w:b/>
          <w:sz w:val="24"/>
          <w:szCs w:val="24"/>
        </w:rPr>
      </w:pPr>
      <w:r w:rsidRPr="0034068C">
        <w:rPr>
          <w:rFonts w:ascii="Arial" w:hAnsi="Arial" w:cs="Arial"/>
          <w:b/>
          <w:sz w:val="24"/>
          <w:szCs w:val="24"/>
        </w:rPr>
        <w:t xml:space="preserve">Critical points during the </w:t>
      </w:r>
      <w:proofErr w:type="gramStart"/>
      <w:r w:rsidRPr="0034068C">
        <w:rPr>
          <w:rFonts w:ascii="Arial" w:hAnsi="Arial" w:cs="Arial"/>
          <w:b/>
          <w:sz w:val="24"/>
          <w:szCs w:val="24"/>
        </w:rPr>
        <w:t>day  for</w:t>
      </w:r>
      <w:proofErr w:type="gramEnd"/>
      <w:r w:rsidRPr="0034068C">
        <w:rPr>
          <w:rFonts w:ascii="Arial" w:hAnsi="Arial" w:cs="Arial"/>
          <w:b/>
          <w:sz w:val="24"/>
          <w:szCs w:val="24"/>
        </w:rPr>
        <w:t xml:space="preserve"> the </w:t>
      </w:r>
      <w:proofErr w:type="spellStart"/>
      <w:r w:rsidRPr="0034068C">
        <w:rPr>
          <w:rFonts w:ascii="Arial" w:hAnsi="Arial" w:cs="Arial"/>
          <w:b/>
          <w:sz w:val="24"/>
          <w:szCs w:val="24"/>
        </w:rPr>
        <w:t>SpRs</w:t>
      </w:r>
      <w:proofErr w:type="spellEnd"/>
      <w:r w:rsidRPr="0034068C">
        <w:rPr>
          <w:rFonts w:ascii="Arial" w:hAnsi="Arial" w:cs="Arial"/>
          <w:b/>
          <w:sz w:val="24"/>
          <w:szCs w:val="24"/>
        </w:rPr>
        <w:t xml:space="preserve"> in the labs</w:t>
      </w:r>
    </w:p>
    <w:p w:rsidR="0034068C" w:rsidRPr="0034068C" w:rsidRDefault="0034068C" w:rsidP="0034068C">
      <w:pPr>
        <w:rPr>
          <w:rFonts w:ascii="Arial" w:hAnsi="Arial" w:cs="Arial"/>
          <w:b/>
          <w:szCs w:val="24"/>
        </w:rPr>
      </w:pPr>
      <w:r w:rsidRPr="0034068C">
        <w:rPr>
          <w:rFonts w:ascii="Arial" w:hAnsi="Arial" w:cs="Arial"/>
          <w:b/>
          <w:szCs w:val="24"/>
        </w:rPr>
        <w:t>Start of the day</w:t>
      </w:r>
    </w:p>
    <w:p w:rsidR="0034068C" w:rsidRPr="0034068C" w:rsidRDefault="0034068C" w:rsidP="0034068C">
      <w:pPr>
        <w:rPr>
          <w:rFonts w:ascii="Arial" w:hAnsi="Arial" w:cs="Arial"/>
          <w:szCs w:val="24"/>
        </w:rPr>
      </w:pPr>
      <w:proofErr w:type="gramStart"/>
      <w:r w:rsidRPr="0034068C">
        <w:rPr>
          <w:rFonts w:ascii="Arial" w:hAnsi="Arial" w:cs="Arial"/>
          <w:szCs w:val="24"/>
        </w:rPr>
        <w:t>07</w:t>
      </w:r>
      <w:proofErr w:type="gramEnd"/>
      <w:r w:rsidRPr="0034068C">
        <w:rPr>
          <w:rFonts w:ascii="Arial" w:hAnsi="Arial" w:cs="Arial"/>
          <w:szCs w:val="24"/>
        </w:rPr>
        <w:t>:30</w:t>
      </w:r>
      <w:r>
        <w:rPr>
          <w:rFonts w:ascii="Arial" w:hAnsi="Arial" w:cs="Arial"/>
          <w:szCs w:val="24"/>
        </w:rPr>
        <w:t xml:space="preserve"> am -</w:t>
      </w:r>
      <w:r w:rsidRPr="0034068C">
        <w:rPr>
          <w:rFonts w:ascii="Arial" w:hAnsi="Arial" w:cs="Arial"/>
          <w:szCs w:val="24"/>
        </w:rPr>
        <w:t xml:space="preserve"> The first day case patient (which should be the first patient on the list in each lab, each day) will be ready for consent by 07:30. Please be prompt to see the patient at 07:30 and consent them for their procedure. </w:t>
      </w:r>
      <w:r w:rsidRPr="0034068C">
        <w:rPr>
          <w:rFonts w:ascii="Arial" w:hAnsi="Arial" w:cs="Arial"/>
          <w:b/>
          <w:szCs w:val="24"/>
        </w:rPr>
        <w:t>Please also mark the side</w:t>
      </w:r>
      <w:r w:rsidRPr="0034068C">
        <w:rPr>
          <w:rFonts w:ascii="Arial" w:hAnsi="Arial" w:cs="Arial"/>
          <w:szCs w:val="24"/>
        </w:rPr>
        <w:t xml:space="preserve"> (where appropriate for device implantation), </w:t>
      </w:r>
      <w:r w:rsidRPr="0034068C">
        <w:rPr>
          <w:rFonts w:ascii="Arial" w:hAnsi="Arial" w:cs="Arial"/>
          <w:b/>
          <w:szCs w:val="24"/>
        </w:rPr>
        <w:t>prescribe pre-medications including antibiotics</w:t>
      </w:r>
      <w:r w:rsidRPr="0034068C">
        <w:rPr>
          <w:rFonts w:ascii="Arial" w:hAnsi="Arial" w:cs="Arial"/>
          <w:szCs w:val="24"/>
        </w:rPr>
        <w:t xml:space="preserve">, </w:t>
      </w:r>
      <w:r w:rsidRPr="0034068C">
        <w:rPr>
          <w:rFonts w:ascii="Arial" w:hAnsi="Arial" w:cs="Arial"/>
          <w:b/>
          <w:szCs w:val="24"/>
        </w:rPr>
        <w:t>ensure a cannula is sited</w:t>
      </w:r>
      <w:r w:rsidRPr="0034068C">
        <w:rPr>
          <w:rFonts w:ascii="Arial" w:hAnsi="Arial" w:cs="Arial"/>
          <w:szCs w:val="24"/>
        </w:rPr>
        <w:t xml:space="preserve"> on the appropriate side,</w:t>
      </w:r>
      <w:r>
        <w:rPr>
          <w:rFonts w:ascii="Arial" w:hAnsi="Arial" w:cs="Arial"/>
          <w:szCs w:val="24"/>
        </w:rPr>
        <w:t xml:space="preserve"> and</w:t>
      </w:r>
      <w:r w:rsidRPr="0034068C">
        <w:rPr>
          <w:rFonts w:ascii="Arial" w:hAnsi="Arial" w:cs="Arial"/>
          <w:szCs w:val="24"/>
        </w:rPr>
        <w:t xml:space="preserve"> </w:t>
      </w:r>
      <w:r w:rsidRPr="0034068C">
        <w:rPr>
          <w:rFonts w:ascii="Arial" w:hAnsi="Arial" w:cs="Arial"/>
          <w:b/>
          <w:szCs w:val="24"/>
        </w:rPr>
        <w:t>check blood results</w:t>
      </w:r>
      <w:r w:rsidRPr="0034068C">
        <w:rPr>
          <w:rFonts w:ascii="Arial" w:hAnsi="Arial" w:cs="Arial"/>
          <w:szCs w:val="24"/>
        </w:rPr>
        <w:t xml:space="preserve">. </w:t>
      </w:r>
    </w:p>
    <w:p w:rsidR="0034068C" w:rsidRPr="0034068C" w:rsidRDefault="0034068C" w:rsidP="0034068C">
      <w:pPr>
        <w:rPr>
          <w:rFonts w:ascii="Arial" w:hAnsi="Arial" w:cs="Arial"/>
          <w:szCs w:val="24"/>
        </w:rPr>
      </w:pPr>
      <w:r w:rsidRPr="0034068C">
        <w:rPr>
          <w:rFonts w:ascii="Arial" w:hAnsi="Arial" w:cs="Arial"/>
          <w:szCs w:val="24"/>
        </w:rPr>
        <w:t xml:space="preserve">08:00: Team brief </w:t>
      </w:r>
      <w:r w:rsidRPr="0034068C">
        <w:rPr>
          <w:rFonts w:ascii="Arial" w:hAnsi="Arial" w:cs="Arial"/>
          <w:b/>
          <w:szCs w:val="24"/>
        </w:rPr>
        <w:t>promptly</w:t>
      </w:r>
      <w:r w:rsidRPr="0034068C">
        <w:rPr>
          <w:rFonts w:ascii="Arial" w:hAnsi="Arial" w:cs="Arial"/>
          <w:szCs w:val="24"/>
        </w:rPr>
        <w:t xml:space="preserve"> in the control room of the appropriate lab</w:t>
      </w:r>
    </w:p>
    <w:p w:rsidR="0034068C" w:rsidRPr="0034068C" w:rsidRDefault="0034068C" w:rsidP="0034068C">
      <w:pPr>
        <w:rPr>
          <w:rFonts w:ascii="Arial" w:hAnsi="Arial" w:cs="Arial"/>
          <w:szCs w:val="24"/>
        </w:rPr>
      </w:pPr>
      <w:r w:rsidRPr="0034068C">
        <w:rPr>
          <w:rFonts w:ascii="Arial" w:hAnsi="Arial" w:cs="Arial"/>
          <w:szCs w:val="24"/>
        </w:rPr>
        <w:t>08:15: Don PPE, scrub</w:t>
      </w:r>
    </w:p>
    <w:p w:rsidR="0034068C" w:rsidRDefault="0034068C" w:rsidP="0034068C">
      <w:pPr>
        <w:rPr>
          <w:rFonts w:ascii="Arial" w:hAnsi="Arial" w:cs="Arial"/>
          <w:b/>
          <w:sz w:val="24"/>
          <w:szCs w:val="24"/>
        </w:rPr>
      </w:pPr>
      <w:r w:rsidRPr="0034068C">
        <w:rPr>
          <w:rFonts w:ascii="Arial" w:hAnsi="Arial" w:cs="Arial"/>
          <w:szCs w:val="24"/>
        </w:rPr>
        <w:t>08:30: Start first case</w:t>
      </w:r>
    </w:p>
    <w:p w:rsidR="0034068C" w:rsidRPr="0034068C" w:rsidRDefault="0034068C" w:rsidP="0034068C">
      <w:pPr>
        <w:rPr>
          <w:rFonts w:ascii="Arial" w:hAnsi="Arial" w:cs="Arial"/>
          <w:b/>
          <w:sz w:val="24"/>
          <w:szCs w:val="24"/>
        </w:rPr>
      </w:pPr>
      <w:r w:rsidRPr="0034068C">
        <w:rPr>
          <w:rFonts w:ascii="Arial" w:hAnsi="Arial" w:cs="Arial"/>
          <w:b/>
          <w:sz w:val="24"/>
          <w:szCs w:val="24"/>
        </w:rPr>
        <w:t>Case transition</w:t>
      </w:r>
    </w:p>
    <w:p w:rsidR="0034068C" w:rsidRDefault="0034068C" w:rsidP="0034068C">
      <w:pPr>
        <w:rPr>
          <w:rFonts w:ascii="Arial" w:hAnsi="Arial" w:cs="Arial"/>
          <w:b/>
          <w:sz w:val="24"/>
          <w:szCs w:val="24"/>
        </w:rPr>
      </w:pPr>
      <w:r w:rsidRPr="0034068C">
        <w:rPr>
          <w:rFonts w:ascii="Arial" w:hAnsi="Arial" w:cs="Arial"/>
          <w:szCs w:val="24"/>
        </w:rPr>
        <w:t xml:space="preserve">After the cases ends, the patient </w:t>
      </w:r>
      <w:proofErr w:type="gramStart"/>
      <w:r w:rsidRPr="0034068C">
        <w:rPr>
          <w:rFonts w:ascii="Arial" w:hAnsi="Arial" w:cs="Arial"/>
          <w:szCs w:val="24"/>
        </w:rPr>
        <w:t>will not be allowed</w:t>
      </w:r>
      <w:proofErr w:type="gramEnd"/>
      <w:r w:rsidRPr="0034068C">
        <w:rPr>
          <w:rFonts w:ascii="Arial" w:hAnsi="Arial" w:cs="Arial"/>
          <w:szCs w:val="24"/>
        </w:rPr>
        <w:t xml:space="preserve"> to leave the lab until the </w:t>
      </w:r>
      <w:r w:rsidRPr="0034068C">
        <w:rPr>
          <w:rFonts w:ascii="Arial" w:hAnsi="Arial" w:cs="Arial"/>
          <w:b/>
          <w:szCs w:val="24"/>
        </w:rPr>
        <w:t>report, EDL and all relevant prescriptions</w:t>
      </w:r>
      <w:r w:rsidRPr="0034068C">
        <w:rPr>
          <w:rFonts w:ascii="Arial" w:hAnsi="Arial" w:cs="Arial"/>
          <w:szCs w:val="24"/>
        </w:rPr>
        <w:t xml:space="preserve"> are completed. </w:t>
      </w:r>
      <w:r w:rsidRPr="0034068C">
        <w:rPr>
          <w:rFonts w:ascii="Arial" w:hAnsi="Arial" w:cs="Arial"/>
          <w:i/>
          <w:szCs w:val="24"/>
        </w:rPr>
        <w:t xml:space="preserve">This </w:t>
      </w:r>
      <w:proofErr w:type="gramStart"/>
      <w:r w:rsidRPr="0034068C">
        <w:rPr>
          <w:rFonts w:ascii="Arial" w:hAnsi="Arial" w:cs="Arial"/>
          <w:i/>
          <w:szCs w:val="24"/>
        </w:rPr>
        <w:t>is absolutely required to be completed</w:t>
      </w:r>
      <w:proofErr w:type="gramEnd"/>
      <w:r w:rsidRPr="0034068C">
        <w:rPr>
          <w:rFonts w:ascii="Arial" w:hAnsi="Arial" w:cs="Arial"/>
          <w:i/>
          <w:szCs w:val="24"/>
        </w:rPr>
        <w:t xml:space="preserve"> at this stage</w:t>
      </w:r>
      <w:r w:rsidRPr="0034068C">
        <w:rPr>
          <w:rFonts w:ascii="Arial" w:hAnsi="Arial" w:cs="Arial"/>
          <w:i/>
          <w:szCs w:val="24"/>
        </w:rPr>
        <w:t>.</w:t>
      </w:r>
      <w:r w:rsidRPr="0034068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</w:t>
      </w:r>
      <w:r w:rsidRPr="0034068C">
        <w:rPr>
          <w:rFonts w:ascii="Arial" w:hAnsi="Arial" w:cs="Arial"/>
          <w:szCs w:val="24"/>
        </w:rPr>
        <w:t xml:space="preserve">he patient should have everything completed that will allow a nurse led discharge without involvement of another doctor if everything goes smoothly. This is as per the </w:t>
      </w:r>
      <w:r w:rsidRPr="0034068C">
        <w:rPr>
          <w:rFonts w:ascii="Arial" w:hAnsi="Arial" w:cs="Arial"/>
          <w:szCs w:val="24"/>
        </w:rPr>
        <w:t>sign out</w:t>
      </w:r>
      <w:r w:rsidRPr="0034068C">
        <w:rPr>
          <w:rFonts w:ascii="Arial" w:hAnsi="Arial" w:cs="Arial"/>
          <w:szCs w:val="24"/>
        </w:rPr>
        <w:t xml:space="preserve"> sheet</w:t>
      </w:r>
      <w:r>
        <w:rPr>
          <w:rFonts w:ascii="Arial" w:hAnsi="Arial" w:cs="Arial"/>
          <w:szCs w:val="24"/>
        </w:rPr>
        <w:t>,</w:t>
      </w:r>
      <w:r w:rsidRPr="0034068C">
        <w:rPr>
          <w:rFonts w:ascii="Arial" w:hAnsi="Arial" w:cs="Arial"/>
          <w:szCs w:val="24"/>
        </w:rPr>
        <w:t xml:space="preserve"> but in </w:t>
      </w:r>
      <w:proofErr w:type="gramStart"/>
      <w:r w:rsidRPr="0034068C">
        <w:rPr>
          <w:rFonts w:ascii="Arial" w:hAnsi="Arial" w:cs="Arial"/>
          <w:szCs w:val="24"/>
        </w:rPr>
        <w:t>general</w:t>
      </w:r>
      <w:proofErr w:type="gramEnd"/>
      <w:r w:rsidRPr="0034068C">
        <w:rPr>
          <w:rFonts w:ascii="Arial" w:hAnsi="Arial" w:cs="Arial"/>
          <w:szCs w:val="24"/>
        </w:rPr>
        <w:t xml:space="preserve"> the tendency has been to ignore this and complete the report afterwards. This </w:t>
      </w:r>
      <w:proofErr w:type="gramStart"/>
      <w:r w:rsidRPr="0034068C">
        <w:rPr>
          <w:rFonts w:ascii="Arial" w:hAnsi="Arial" w:cs="Arial"/>
          <w:szCs w:val="24"/>
        </w:rPr>
        <w:t xml:space="preserve">will no longer be </w:t>
      </w:r>
      <w:r w:rsidRPr="0034068C">
        <w:rPr>
          <w:rFonts w:ascii="Arial" w:hAnsi="Arial" w:cs="Arial"/>
          <w:szCs w:val="24"/>
        </w:rPr>
        <w:t>allowed</w:t>
      </w:r>
      <w:proofErr w:type="gramEnd"/>
      <w:r w:rsidRPr="0034068C">
        <w:rPr>
          <w:rFonts w:ascii="Arial" w:hAnsi="Arial" w:cs="Arial"/>
          <w:szCs w:val="24"/>
        </w:rPr>
        <w:t>,</w:t>
      </w:r>
      <w:r w:rsidRPr="0034068C">
        <w:rPr>
          <w:rFonts w:ascii="Arial" w:hAnsi="Arial" w:cs="Arial"/>
          <w:szCs w:val="24"/>
        </w:rPr>
        <w:t xml:space="preserve"> as the patient will be going back to EJ to recover. In addition, the next patient will often need consenting</w:t>
      </w:r>
      <w:r>
        <w:rPr>
          <w:rFonts w:ascii="Arial" w:hAnsi="Arial" w:cs="Arial"/>
          <w:szCs w:val="24"/>
        </w:rPr>
        <w:t xml:space="preserve"> </w:t>
      </w:r>
      <w:r w:rsidRPr="0034068C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 xml:space="preserve"> </w:t>
      </w:r>
      <w:r w:rsidRPr="0034068C">
        <w:rPr>
          <w:rFonts w:ascii="Arial" w:hAnsi="Arial" w:cs="Arial"/>
          <w:szCs w:val="24"/>
        </w:rPr>
        <w:t xml:space="preserve">preparing after the case ends. These two tasks (report </w:t>
      </w:r>
      <w:proofErr w:type="spellStart"/>
      <w:r w:rsidRPr="0034068C">
        <w:rPr>
          <w:rFonts w:ascii="Arial" w:hAnsi="Arial" w:cs="Arial"/>
          <w:szCs w:val="24"/>
        </w:rPr>
        <w:t>etc</w:t>
      </w:r>
      <w:proofErr w:type="spellEnd"/>
      <w:r w:rsidRPr="0034068C">
        <w:rPr>
          <w:rFonts w:ascii="Arial" w:hAnsi="Arial" w:cs="Arial"/>
          <w:szCs w:val="24"/>
        </w:rPr>
        <w:t xml:space="preserve"> and consent) should be shared between the </w:t>
      </w:r>
      <w:proofErr w:type="spellStart"/>
      <w:r w:rsidRPr="0034068C">
        <w:rPr>
          <w:rFonts w:ascii="Arial" w:hAnsi="Arial" w:cs="Arial"/>
          <w:szCs w:val="24"/>
        </w:rPr>
        <w:t>SpRs</w:t>
      </w:r>
      <w:proofErr w:type="spellEnd"/>
      <w:r w:rsidRPr="0034068C">
        <w:rPr>
          <w:rFonts w:ascii="Arial" w:hAnsi="Arial" w:cs="Arial"/>
          <w:szCs w:val="24"/>
        </w:rPr>
        <w:t xml:space="preserve"> and the consultant in the lab, the consultants are aware of this (and have been asked to ensure they have </w:t>
      </w:r>
      <w:proofErr w:type="spellStart"/>
      <w:r w:rsidRPr="0034068C">
        <w:rPr>
          <w:rFonts w:ascii="Arial" w:hAnsi="Arial" w:cs="Arial"/>
          <w:szCs w:val="24"/>
        </w:rPr>
        <w:t>MedChart</w:t>
      </w:r>
      <w:proofErr w:type="spellEnd"/>
      <w:r w:rsidRPr="0034068C">
        <w:rPr>
          <w:rFonts w:ascii="Arial" w:hAnsi="Arial" w:cs="Arial"/>
          <w:szCs w:val="24"/>
        </w:rPr>
        <w:t xml:space="preserve"> access </w:t>
      </w:r>
      <w:proofErr w:type="spellStart"/>
      <w:r w:rsidRPr="0034068C">
        <w:rPr>
          <w:rFonts w:ascii="Arial" w:hAnsi="Arial" w:cs="Arial"/>
          <w:szCs w:val="24"/>
        </w:rPr>
        <w:t>etc</w:t>
      </w:r>
      <w:proofErr w:type="spellEnd"/>
      <w:r w:rsidRPr="0034068C">
        <w:rPr>
          <w:rFonts w:ascii="Arial" w:hAnsi="Arial" w:cs="Arial"/>
          <w:szCs w:val="24"/>
        </w:rPr>
        <w:t xml:space="preserve">) and so hopefully this will not cause too much disruption. </w:t>
      </w:r>
    </w:p>
    <w:p w:rsidR="00025B28" w:rsidRDefault="00025B28" w:rsidP="0034068C">
      <w:pPr>
        <w:rPr>
          <w:rFonts w:ascii="Arial" w:hAnsi="Arial" w:cs="Arial"/>
          <w:b/>
          <w:sz w:val="24"/>
          <w:szCs w:val="24"/>
        </w:rPr>
      </w:pPr>
    </w:p>
    <w:p w:rsidR="0034068C" w:rsidRPr="0034068C" w:rsidRDefault="0034068C" w:rsidP="0034068C">
      <w:pPr>
        <w:rPr>
          <w:rFonts w:ascii="Arial" w:hAnsi="Arial" w:cs="Arial"/>
          <w:b/>
          <w:sz w:val="24"/>
          <w:szCs w:val="24"/>
        </w:rPr>
      </w:pPr>
      <w:r w:rsidRPr="0034068C">
        <w:rPr>
          <w:rFonts w:ascii="Arial" w:hAnsi="Arial" w:cs="Arial"/>
          <w:b/>
          <w:sz w:val="24"/>
          <w:szCs w:val="24"/>
        </w:rPr>
        <w:t>End of the day</w:t>
      </w:r>
    </w:p>
    <w:p w:rsidR="0034068C" w:rsidRPr="0034068C" w:rsidRDefault="0034068C" w:rsidP="0034068C">
      <w:pPr>
        <w:rPr>
          <w:rFonts w:ascii="Arial" w:hAnsi="Arial" w:cs="Arial"/>
          <w:szCs w:val="24"/>
        </w:rPr>
      </w:pPr>
      <w:r w:rsidRPr="0034068C">
        <w:rPr>
          <w:rFonts w:ascii="Arial" w:hAnsi="Arial" w:cs="Arial"/>
          <w:szCs w:val="24"/>
        </w:rPr>
        <w:t xml:space="preserve">De-brief from the day - </w:t>
      </w:r>
      <w:r>
        <w:rPr>
          <w:rFonts w:ascii="Arial" w:hAnsi="Arial" w:cs="Arial"/>
          <w:szCs w:val="24"/>
        </w:rPr>
        <w:t>I</w:t>
      </w:r>
      <w:r w:rsidRPr="0034068C">
        <w:rPr>
          <w:rFonts w:ascii="Arial" w:hAnsi="Arial" w:cs="Arial"/>
          <w:szCs w:val="24"/>
        </w:rPr>
        <w:t xml:space="preserve">t will be very helpful for any areas where the system </w:t>
      </w:r>
      <w:proofErr w:type="gramStart"/>
      <w:r w:rsidRPr="0034068C">
        <w:rPr>
          <w:rFonts w:ascii="Arial" w:hAnsi="Arial" w:cs="Arial"/>
          <w:szCs w:val="24"/>
        </w:rPr>
        <w:t>could be improved</w:t>
      </w:r>
      <w:proofErr w:type="gramEnd"/>
      <w:r w:rsidRPr="0034068C">
        <w:rPr>
          <w:rFonts w:ascii="Arial" w:hAnsi="Arial" w:cs="Arial"/>
          <w:szCs w:val="24"/>
        </w:rPr>
        <w:t xml:space="preserve"> are highlighted here. There will be someone making notes and feeding back to the team who are developing this process.   </w:t>
      </w:r>
    </w:p>
    <w:p w:rsidR="0034068C" w:rsidRPr="0034068C" w:rsidRDefault="0034068C" w:rsidP="0034068C">
      <w:pPr>
        <w:rPr>
          <w:rFonts w:ascii="Arial" w:hAnsi="Arial" w:cs="Arial"/>
          <w:szCs w:val="24"/>
        </w:rPr>
      </w:pPr>
      <w:r w:rsidRPr="0034068C">
        <w:rPr>
          <w:rFonts w:ascii="Arial" w:hAnsi="Arial" w:cs="Arial"/>
          <w:b/>
          <w:szCs w:val="24"/>
        </w:rPr>
        <w:t>Check list for subsequent day and prepare IPs</w:t>
      </w:r>
      <w:r w:rsidRPr="0034068C">
        <w:rPr>
          <w:rFonts w:ascii="Arial" w:hAnsi="Arial" w:cs="Arial"/>
          <w:szCs w:val="24"/>
        </w:rPr>
        <w:t xml:space="preserve"> for procedures following day. This includes:</w:t>
      </w:r>
    </w:p>
    <w:p w:rsidR="0034068C" w:rsidRPr="0034068C" w:rsidRDefault="0034068C" w:rsidP="0034068C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 w:rsidRPr="0034068C">
        <w:rPr>
          <w:rFonts w:ascii="Arial" w:hAnsi="Arial" w:cs="Arial"/>
          <w:szCs w:val="24"/>
        </w:rPr>
        <w:t>Pre-medication prescribed on med chart (</w:t>
      </w:r>
      <w:r w:rsidR="00025B28">
        <w:rPr>
          <w:rFonts w:ascii="Arial" w:hAnsi="Arial" w:cs="Arial"/>
          <w:szCs w:val="24"/>
        </w:rPr>
        <w:t>a</w:t>
      </w:r>
      <w:r w:rsidRPr="0034068C">
        <w:rPr>
          <w:rFonts w:ascii="Arial" w:hAnsi="Arial" w:cs="Arial"/>
          <w:szCs w:val="24"/>
        </w:rPr>
        <w:t xml:space="preserve">ntibiotics </w:t>
      </w:r>
      <w:proofErr w:type="spellStart"/>
      <w:r w:rsidRPr="0034068C">
        <w:rPr>
          <w:rFonts w:ascii="Arial" w:hAnsi="Arial" w:cs="Arial"/>
          <w:szCs w:val="24"/>
        </w:rPr>
        <w:t>etc</w:t>
      </w:r>
      <w:proofErr w:type="spellEnd"/>
      <w:r w:rsidRPr="0034068C">
        <w:rPr>
          <w:rFonts w:ascii="Arial" w:hAnsi="Arial" w:cs="Arial"/>
          <w:szCs w:val="24"/>
        </w:rPr>
        <w:t>)</w:t>
      </w:r>
    </w:p>
    <w:p w:rsidR="0034068C" w:rsidRPr="0034068C" w:rsidRDefault="0034068C" w:rsidP="0034068C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 w:rsidRPr="0034068C">
        <w:rPr>
          <w:rFonts w:ascii="Arial" w:hAnsi="Arial" w:cs="Arial"/>
          <w:szCs w:val="24"/>
        </w:rPr>
        <w:t>Mark the operation site if appropriate</w:t>
      </w:r>
    </w:p>
    <w:p w:rsidR="0034068C" w:rsidRPr="0034068C" w:rsidRDefault="0034068C" w:rsidP="0034068C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 w:rsidRPr="0034068C">
        <w:rPr>
          <w:rFonts w:ascii="Arial" w:hAnsi="Arial" w:cs="Arial"/>
          <w:szCs w:val="24"/>
        </w:rPr>
        <w:t>Ensure there is a cannula on the correct site</w:t>
      </w:r>
    </w:p>
    <w:p w:rsidR="0034068C" w:rsidRPr="0034068C" w:rsidRDefault="0034068C" w:rsidP="0034068C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 w:rsidRPr="0034068C">
        <w:rPr>
          <w:rFonts w:ascii="Arial" w:hAnsi="Arial" w:cs="Arial"/>
          <w:szCs w:val="24"/>
        </w:rPr>
        <w:t>Consent the patient</w:t>
      </w:r>
      <w:bookmarkStart w:id="0" w:name="_GoBack"/>
      <w:bookmarkEnd w:id="0"/>
    </w:p>
    <w:p w:rsidR="0034068C" w:rsidRPr="0034068C" w:rsidRDefault="0034068C" w:rsidP="0034068C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 w:rsidRPr="0034068C">
        <w:rPr>
          <w:rFonts w:ascii="Arial" w:hAnsi="Arial" w:cs="Arial"/>
          <w:szCs w:val="24"/>
        </w:rPr>
        <w:t>Ensure the correct bloods results are available for the procedure</w:t>
      </w:r>
    </w:p>
    <w:p w:rsidR="0034068C" w:rsidRPr="0034068C" w:rsidRDefault="0034068C" w:rsidP="0034068C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 w:rsidRPr="0034068C">
        <w:rPr>
          <w:rFonts w:ascii="Arial" w:hAnsi="Arial" w:cs="Arial"/>
          <w:szCs w:val="24"/>
        </w:rPr>
        <w:t>If they identify that the patient is not suitable for the procedure at this point – to contact the scheduling team</w:t>
      </w:r>
    </w:p>
    <w:p w:rsidR="0034068C" w:rsidRPr="0034068C" w:rsidRDefault="0034068C" w:rsidP="0034068C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 w:rsidRPr="0034068C">
        <w:rPr>
          <w:rFonts w:ascii="Arial" w:hAnsi="Arial" w:cs="Arial"/>
          <w:szCs w:val="24"/>
        </w:rPr>
        <w:t>Communicate with nurse in charge that the above is completed.</w:t>
      </w:r>
    </w:p>
    <w:p w:rsidR="0034068C" w:rsidRPr="0034068C" w:rsidRDefault="0034068C" w:rsidP="0034068C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 w:rsidRPr="0034068C">
        <w:rPr>
          <w:rFonts w:ascii="Arial" w:hAnsi="Arial" w:cs="Arial"/>
          <w:szCs w:val="24"/>
        </w:rPr>
        <w:t>Document on e-noting that the patient is listed for procedure next day</w:t>
      </w:r>
    </w:p>
    <w:p w:rsidR="0034068C" w:rsidRPr="0034068C" w:rsidRDefault="0034068C" w:rsidP="0034068C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 w:rsidRPr="0034068C">
        <w:rPr>
          <w:rFonts w:ascii="Arial" w:hAnsi="Arial" w:cs="Arial"/>
          <w:szCs w:val="24"/>
        </w:rPr>
        <w:t>Makes note of the patients pacemaker ID</w:t>
      </w:r>
      <w:r w:rsidR="00025B28">
        <w:rPr>
          <w:rFonts w:ascii="Arial" w:hAnsi="Arial" w:cs="Arial"/>
          <w:szCs w:val="24"/>
        </w:rPr>
        <w:t xml:space="preserve"> </w:t>
      </w:r>
      <w:r w:rsidRPr="0034068C">
        <w:rPr>
          <w:rFonts w:ascii="Arial" w:hAnsi="Arial" w:cs="Arial"/>
          <w:szCs w:val="24"/>
        </w:rPr>
        <w:t>/</w:t>
      </w:r>
      <w:r w:rsidR="00025B28">
        <w:rPr>
          <w:rFonts w:ascii="Arial" w:hAnsi="Arial" w:cs="Arial"/>
          <w:szCs w:val="24"/>
        </w:rPr>
        <w:t xml:space="preserve"> </w:t>
      </w:r>
      <w:r w:rsidRPr="0034068C">
        <w:rPr>
          <w:rFonts w:ascii="Arial" w:hAnsi="Arial" w:cs="Arial"/>
          <w:szCs w:val="24"/>
        </w:rPr>
        <w:t>type of device</w:t>
      </w:r>
      <w:r w:rsidR="00025B28">
        <w:rPr>
          <w:rFonts w:ascii="Arial" w:hAnsi="Arial" w:cs="Arial"/>
          <w:szCs w:val="24"/>
        </w:rPr>
        <w:t>,</w:t>
      </w:r>
      <w:r w:rsidRPr="0034068C">
        <w:rPr>
          <w:rFonts w:ascii="Arial" w:hAnsi="Arial" w:cs="Arial"/>
          <w:szCs w:val="24"/>
        </w:rPr>
        <w:t xml:space="preserve"> if applicable</w:t>
      </w:r>
    </w:p>
    <w:p w:rsidR="00D97E41" w:rsidRPr="0034068C" w:rsidRDefault="0034068C" w:rsidP="0034068C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 w:rsidRPr="0034068C">
        <w:rPr>
          <w:rFonts w:ascii="Arial" w:hAnsi="Arial" w:cs="Arial"/>
          <w:szCs w:val="24"/>
        </w:rPr>
        <w:t xml:space="preserve">Identify if the patient is COVID Swab Negative within the 48 hours prior to the procedure or not and communicate this to the </w:t>
      </w:r>
      <w:proofErr w:type="spellStart"/>
      <w:r w:rsidRPr="0034068C">
        <w:rPr>
          <w:rFonts w:ascii="Arial" w:hAnsi="Arial" w:cs="Arial"/>
          <w:szCs w:val="24"/>
        </w:rPr>
        <w:t>cath</w:t>
      </w:r>
      <w:proofErr w:type="spellEnd"/>
      <w:r w:rsidRPr="0034068C">
        <w:rPr>
          <w:rFonts w:ascii="Arial" w:hAnsi="Arial" w:cs="Arial"/>
          <w:szCs w:val="24"/>
        </w:rPr>
        <w:t xml:space="preserve"> lab commander.</w:t>
      </w:r>
    </w:p>
    <w:sectPr w:rsidR="00D97E41" w:rsidRPr="0034068C" w:rsidSect="00025B28">
      <w:headerReference w:type="default" r:id="rId7"/>
      <w:headerReference w:type="first" r:id="rId8"/>
      <w:pgSz w:w="11906" w:h="16838" w:code="9"/>
      <w:pgMar w:top="1673" w:right="1416" w:bottom="1276" w:left="1418" w:header="765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06C" w:rsidRDefault="0089206C">
      <w:r>
        <w:separator/>
      </w:r>
    </w:p>
  </w:endnote>
  <w:endnote w:type="continuationSeparator" w:id="0">
    <w:p w:rsidR="0089206C" w:rsidRDefault="0089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06C" w:rsidRDefault="0089206C">
      <w:r>
        <w:separator/>
      </w:r>
    </w:p>
  </w:footnote>
  <w:footnote w:type="continuationSeparator" w:id="0">
    <w:p w:rsidR="0089206C" w:rsidRDefault="00892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6B" w:rsidRPr="006E4A32" w:rsidRDefault="006E4A32" w:rsidP="006E4A32">
    <w:pPr>
      <w:pStyle w:val="Header"/>
      <w:rPr>
        <w:rFonts w:ascii="Arial" w:hAnsi="Arial" w:cs="Arial"/>
        <w:color w:val="7F7F7F"/>
        <w:sz w:val="32"/>
        <w:szCs w:val="32"/>
      </w:rPr>
    </w:pPr>
    <w:r w:rsidRPr="006E4A32">
      <w:rPr>
        <w:rFonts w:ascii="Arial" w:hAnsi="Arial" w:cs="Arial"/>
        <w:noProof/>
        <w:color w:val="7F7F7F"/>
        <w:sz w:val="32"/>
        <w:szCs w:val="32"/>
        <w:lang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-287655</wp:posOffset>
          </wp:positionV>
          <wp:extent cx="2185670" cy="732790"/>
          <wp:effectExtent l="0" t="0" r="5080" b="0"/>
          <wp:wrapTight wrapText="bothSides">
            <wp:wrapPolygon edited="0">
              <wp:start x="0" y="0"/>
              <wp:lineTo x="0" y="20776"/>
              <wp:lineTo x="21462" y="20776"/>
              <wp:lineTo x="21462" y="0"/>
              <wp:lineTo x="0" y="0"/>
            </wp:wrapPolygon>
          </wp:wrapTight>
          <wp:docPr id="3" name="Picture 3" descr="A4 Guy's and St Thomas'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4 Guy's and St Thomas'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45" b="18114"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A32">
      <w:rPr>
        <w:rFonts w:ascii="Arial" w:hAnsi="Arial" w:cs="Arial"/>
        <w:b/>
        <w:color w:val="7F7F7F"/>
        <w:sz w:val="32"/>
        <w:szCs w:val="32"/>
      </w:rPr>
      <w:t>COVID-19 | Cath lab guidelines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6B" w:rsidRPr="0089206C" w:rsidRDefault="006E4A32">
    <w:pPr>
      <w:pStyle w:val="Header"/>
      <w:rPr>
        <w:rFonts w:ascii="Arial" w:hAnsi="Arial" w:cs="Arial"/>
        <w:color w:val="7F7F7F" w:themeColor="text1" w:themeTint="80"/>
        <w:sz w:val="32"/>
        <w:szCs w:val="32"/>
      </w:rPr>
    </w:pPr>
    <w:r w:rsidRPr="006E4A32">
      <w:rPr>
        <w:rFonts w:ascii="Arial" w:hAnsi="Arial" w:cs="Arial"/>
        <w:noProof/>
        <w:color w:val="7F7F7F" w:themeColor="text1" w:themeTint="80"/>
        <w:sz w:val="32"/>
        <w:szCs w:val="32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-287655</wp:posOffset>
          </wp:positionV>
          <wp:extent cx="2185670" cy="732790"/>
          <wp:effectExtent l="0" t="0" r="5080" b="0"/>
          <wp:wrapTight wrapText="bothSides">
            <wp:wrapPolygon edited="0">
              <wp:start x="0" y="0"/>
              <wp:lineTo x="0" y="20776"/>
              <wp:lineTo x="21462" y="20776"/>
              <wp:lineTo x="21462" y="0"/>
              <wp:lineTo x="0" y="0"/>
            </wp:wrapPolygon>
          </wp:wrapTight>
          <wp:docPr id="4" name="Picture 4" descr="A4 Guy's and St Thomas'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4 Guy's and St Thomas'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45" b="18114"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06C" w:rsidRPr="006E4A32">
      <w:rPr>
        <w:rFonts w:ascii="Arial" w:hAnsi="Arial" w:cs="Arial"/>
        <w:b/>
        <w:color w:val="7F7F7F" w:themeColor="text1" w:themeTint="80"/>
        <w:sz w:val="32"/>
        <w:szCs w:val="32"/>
      </w:rPr>
      <w:t>COVID-19 | Cath lab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919B6"/>
    <w:multiLevelType w:val="hybridMultilevel"/>
    <w:tmpl w:val="09F6908A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8444F"/>
    <w:multiLevelType w:val="hybridMultilevel"/>
    <w:tmpl w:val="63E6EE1E"/>
    <w:lvl w:ilvl="0" w:tplc="3984D4EE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0E074C"/>
    <w:multiLevelType w:val="singleLevel"/>
    <w:tmpl w:val="CF08DC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8BC7C4E"/>
    <w:multiLevelType w:val="hybridMultilevel"/>
    <w:tmpl w:val="8F821334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85114F"/>
    <w:multiLevelType w:val="hybridMultilevel"/>
    <w:tmpl w:val="575E0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2232"/>
    <w:multiLevelType w:val="hybridMultilevel"/>
    <w:tmpl w:val="D5AA9A84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AD0370"/>
    <w:multiLevelType w:val="hybridMultilevel"/>
    <w:tmpl w:val="30E2C9E4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93028"/>
    <w:multiLevelType w:val="hybridMultilevel"/>
    <w:tmpl w:val="B7A83512"/>
    <w:lvl w:ilvl="0" w:tplc="FFFFFFFF">
      <w:start w:val="1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3B2E5B"/>
    <w:multiLevelType w:val="hybridMultilevel"/>
    <w:tmpl w:val="656A01FA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0F3128"/>
    <w:multiLevelType w:val="hybridMultilevel"/>
    <w:tmpl w:val="519E6D68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DF3C5C"/>
    <w:multiLevelType w:val="hybridMultilevel"/>
    <w:tmpl w:val="9D147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A5A4A"/>
    <w:multiLevelType w:val="hybridMultilevel"/>
    <w:tmpl w:val="AC640ED8"/>
    <w:lvl w:ilvl="0" w:tplc="7F2AED9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860D5B"/>
    <w:multiLevelType w:val="hybridMultilevel"/>
    <w:tmpl w:val="1040BB4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684238"/>
    <w:multiLevelType w:val="hybridMultilevel"/>
    <w:tmpl w:val="34DC598E"/>
    <w:lvl w:ilvl="0" w:tplc="96A8561E">
      <w:numFmt w:val="bullet"/>
      <w:lvlText w:val=""/>
      <w:lvlJc w:val="left"/>
      <w:pPr>
        <w:ind w:left="360" w:hanging="360"/>
      </w:pPr>
      <w:rPr>
        <w:rFonts w:ascii="Symbol" w:eastAsia="Century Schoolbook" w:hAnsi="Symbol" w:cs="Century Schoolbook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4A6A8E"/>
    <w:multiLevelType w:val="hybridMultilevel"/>
    <w:tmpl w:val="2A86B7EC"/>
    <w:lvl w:ilvl="0" w:tplc="96A8561E">
      <w:numFmt w:val="bullet"/>
      <w:lvlText w:val=""/>
      <w:lvlJc w:val="left"/>
      <w:pPr>
        <w:ind w:left="360" w:hanging="360"/>
      </w:pPr>
      <w:rPr>
        <w:rFonts w:ascii="Symbol" w:eastAsia="Century Schoolbook" w:hAnsi="Symbol" w:cs="Century Schoolbook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7718CF"/>
    <w:multiLevelType w:val="hybridMultilevel"/>
    <w:tmpl w:val="E0304FF0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D427D"/>
    <w:multiLevelType w:val="hybridMultilevel"/>
    <w:tmpl w:val="EE1A2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743C9"/>
    <w:multiLevelType w:val="hybridMultilevel"/>
    <w:tmpl w:val="5F6055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600AF"/>
    <w:multiLevelType w:val="hybridMultilevel"/>
    <w:tmpl w:val="C19023C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D33AE2"/>
    <w:multiLevelType w:val="hybridMultilevel"/>
    <w:tmpl w:val="6C3A5286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D079A0"/>
    <w:multiLevelType w:val="singleLevel"/>
    <w:tmpl w:val="FCBA3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F5D78FF"/>
    <w:multiLevelType w:val="hybridMultilevel"/>
    <w:tmpl w:val="55007442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8"/>
  </w:num>
  <w:num w:numId="5">
    <w:abstractNumId w:val="5"/>
  </w:num>
  <w:num w:numId="6">
    <w:abstractNumId w:val="12"/>
  </w:num>
  <w:num w:numId="7">
    <w:abstractNumId w:val="18"/>
  </w:num>
  <w:num w:numId="8">
    <w:abstractNumId w:val="7"/>
  </w:num>
  <w:num w:numId="9">
    <w:abstractNumId w:val="9"/>
  </w:num>
  <w:num w:numId="10">
    <w:abstractNumId w:val="20"/>
  </w:num>
  <w:num w:numId="11">
    <w:abstractNumId w:val="2"/>
  </w:num>
  <w:num w:numId="12">
    <w:abstractNumId w:val="17"/>
  </w:num>
  <w:num w:numId="13">
    <w:abstractNumId w:val="11"/>
  </w:num>
  <w:num w:numId="14">
    <w:abstractNumId w:val="14"/>
  </w:num>
  <w:num w:numId="15">
    <w:abstractNumId w:val="13"/>
  </w:num>
  <w:num w:numId="16">
    <w:abstractNumId w:val="6"/>
  </w:num>
  <w:num w:numId="17">
    <w:abstractNumId w:val="15"/>
  </w:num>
  <w:num w:numId="18">
    <w:abstractNumId w:val="0"/>
  </w:num>
  <w:num w:numId="19">
    <w:abstractNumId w:val="16"/>
  </w:num>
  <w:num w:numId="20">
    <w:abstractNumId w:val="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6C"/>
    <w:rsid w:val="00025B28"/>
    <w:rsid w:val="0005496B"/>
    <w:rsid w:val="00060F64"/>
    <w:rsid w:val="00153746"/>
    <w:rsid w:val="001A5D29"/>
    <w:rsid w:val="001B60D8"/>
    <w:rsid w:val="002D4FA0"/>
    <w:rsid w:val="002D5B0C"/>
    <w:rsid w:val="002E5220"/>
    <w:rsid w:val="0034068C"/>
    <w:rsid w:val="00425CC1"/>
    <w:rsid w:val="00471275"/>
    <w:rsid w:val="004F3C19"/>
    <w:rsid w:val="005066CD"/>
    <w:rsid w:val="00591F42"/>
    <w:rsid w:val="005B6816"/>
    <w:rsid w:val="006C554D"/>
    <w:rsid w:val="006E4A32"/>
    <w:rsid w:val="006F15BA"/>
    <w:rsid w:val="007355D3"/>
    <w:rsid w:val="00776CA1"/>
    <w:rsid w:val="007E2E41"/>
    <w:rsid w:val="00811A45"/>
    <w:rsid w:val="008775F3"/>
    <w:rsid w:val="0089206C"/>
    <w:rsid w:val="009A1563"/>
    <w:rsid w:val="009E10CA"/>
    <w:rsid w:val="009E245D"/>
    <w:rsid w:val="00A678E2"/>
    <w:rsid w:val="00B206EA"/>
    <w:rsid w:val="00B67A99"/>
    <w:rsid w:val="00CB3947"/>
    <w:rsid w:val="00D558B0"/>
    <w:rsid w:val="00D97E41"/>
    <w:rsid w:val="00DD223A"/>
    <w:rsid w:val="00EC0193"/>
    <w:rsid w:val="00F317C9"/>
    <w:rsid w:val="00F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C1D8A62-EF50-4BD5-B307-0D5BA83B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6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 w:cs="Arial"/>
      <w:sz w:val="24"/>
    </w:rPr>
  </w:style>
  <w:style w:type="paragraph" w:styleId="BodyText">
    <w:name w:val="Body Text"/>
    <w:basedOn w:val="Normal"/>
    <w:rPr>
      <w:rFonts w:ascii="Arial" w:hAnsi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9206C"/>
    <w:pPr>
      <w:ind w:left="720"/>
      <w:contextualSpacing/>
    </w:pPr>
  </w:style>
  <w:style w:type="character" w:styleId="Hyperlink">
    <w:name w:val="Hyperlink"/>
    <w:basedOn w:val="DefaultParagraphFont"/>
    <w:rsid w:val="001B6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ardiovascular\Network\Communications\Templates\GSTT-a4-standard-page-blu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GSTT-a4-standard-page-blue</Template>
  <TotalTime>5</TotalTime>
  <Pages>1</Pages>
  <Words>451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Policy</vt:lpstr>
    </vt:vector>
  </TitlesOfParts>
  <Company>Andrew Younger &amp; Associates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Policy</dc:title>
  <dc:subject/>
  <dc:creator>Marlow Andrea</dc:creator>
  <cp:keywords/>
  <dc:description/>
  <cp:lastModifiedBy>Marlow Andrea</cp:lastModifiedBy>
  <cp:revision>4</cp:revision>
  <cp:lastPrinted>2002-05-27T17:23:00Z</cp:lastPrinted>
  <dcterms:created xsi:type="dcterms:W3CDTF">2020-05-20T08:42:00Z</dcterms:created>
  <dcterms:modified xsi:type="dcterms:W3CDTF">2020-05-20T09:11:00Z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490394484</vt:i4>
  </property>
  <property fmtid="{D5CDD505-2E9C-101B-9397-08002B2CF9AE}" pid="3" name="_EmailSubject">
    <vt:lpwstr>Dopey (The current (but old) TWW)</vt:lpwstr>
  </property>
  <property fmtid="{D5CDD505-2E9C-101B-9397-08002B2CF9AE}" pid="4" name="_AuthorEmail">
    <vt:lpwstr>David.Hill@gstt.sthames.nhs.uk</vt:lpwstr>
  </property>
  <property fmtid="{D5CDD505-2E9C-101B-9397-08002B2CF9AE}" pid="5" name="_AuthorEmailDisplayName">
    <vt:lpwstr>Hill David</vt:lpwstr>
  </property>
  <property fmtid="{D5CDD505-2E9C-101B-9397-08002B2CF9AE}" pid="6" name="_ReviewingToolsShownOnce">
    <vt:lpwstr/>
  </property>
</Properties>
</file>