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CB3947" w:rsidRDefault="008C592B" w:rsidP="0089206C">
      <w:pPr>
        <w:jc w:val="center"/>
        <w:rPr>
          <w:rFonts w:ascii="Arial" w:hAnsi="Arial" w:cs="Arial"/>
          <w:b/>
          <w:color w:val="005EB8"/>
          <w:sz w:val="32"/>
          <w:szCs w:val="40"/>
        </w:rPr>
      </w:pPr>
      <w:r>
        <w:rPr>
          <w:rFonts w:ascii="Arial" w:hAnsi="Arial" w:cs="Arial"/>
          <w:b/>
          <w:color w:val="005EB8"/>
          <w:sz w:val="32"/>
          <w:szCs w:val="40"/>
        </w:rPr>
        <w:t>Operational workflow for treat and transfer</w:t>
      </w:r>
    </w:p>
    <w:p w:rsidR="00AE5853" w:rsidRPr="00AE5853" w:rsidRDefault="00AE5853" w:rsidP="00AE5853">
      <w:pPr>
        <w:spacing w:after="100" w:afterAutospacing="1" w:line="269" w:lineRule="auto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t</w:t>
      </w:r>
      <w:r w:rsidRPr="00AE5853">
        <w:rPr>
          <w:rFonts w:ascii="Arial" w:hAnsi="Arial" w:cs="Arial"/>
          <w:szCs w:val="24"/>
        </w:rPr>
        <w:t xml:space="preserve">reat and </w:t>
      </w:r>
      <w:r>
        <w:rPr>
          <w:rFonts w:ascii="Arial" w:hAnsi="Arial" w:cs="Arial"/>
          <w:szCs w:val="24"/>
        </w:rPr>
        <w:t>t</w:t>
      </w:r>
      <w:r w:rsidRPr="00AE5853">
        <w:rPr>
          <w:rFonts w:ascii="Arial" w:hAnsi="Arial" w:cs="Arial"/>
          <w:szCs w:val="24"/>
        </w:rPr>
        <w:t xml:space="preserve">ransfer pathway applies to those patients received by GSTT cardiac catheter laboratory from another hospital as a planned transfer via the </w:t>
      </w:r>
      <w:r>
        <w:rPr>
          <w:rFonts w:ascii="Arial" w:hAnsi="Arial" w:cs="Arial"/>
          <w:szCs w:val="24"/>
        </w:rPr>
        <w:t>i</w:t>
      </w:r>
      <w:r w:rsidRPr="00AE5853">
        <w:rPr>
          <w:rFonts w:ascii="Arial" w:hAnsi="Arial" w:cs="Arial"/>
          <w:szCs w:val="24"/>
        </w:rPr>
        <w:t>nter</w:t>
      </w:r>
      <w:r>
        <w:rPr>
          <w:rFonts w:ascii="Arial" w:hAnsi="Arial" w:cs="Arial"/>
          <w:szCs w:val="24"/>
        </w:rPr>
        <w:t xml:space="preserve"> h</w:t>
      </w:r>
      <w:r w:rsidRPr="00AE5853">
        <w:rPr>
          <w:rFonts w:ascii="Arial" w:hAnsi="Arial" w:cs="Arial"/>
          <w:szCs w:val="24"/>
        </w:rPr>
        <w:t xml:space="preserve">ospital </w:t>
      </w:r>
      <w:r>
        <w:rPr>
          <w:rFonts w:ascii="Arial" w:hAnsi="Arial" w:cs="Arial"/>
          <w:szCs w:val="24"/>
        </w:rPr>
        <w:t>t</w:t>
      </w:r>
      <w:r w:rsidRPr="00AE5853">
        <w:rPr>
          <w:rFonts w:ascii="Arial" w:hAnsi="Arial" w:cs="Arial"/>
          <w:szCs w:val="24"/>
        </w:rPr>
        <w:t xml:space="preserve">ransfer (IHT) system for a therapeutic intervention. Following the intervention, there are three potential destinations: </w:t>
      </w:r>
      <w:r>
        <w:rPr>
          <w:rFonts w:ascii="Arial" w:hAnsi="Arial" w:cs="Arial"/>
          <w:szCs w:val="24"/>
        </w:rPr>
        <w:t xml:space="preserve">1.) </w:t>
      </w:r>
      <w:r w:rsidRPr="00AE5853">
        <w:rPr>
          <w:rFonts w:ascii="Arial" w:hAnsi="Arial" w:cs="Arial"/>
          <w:szCs w:val="24"/>
        </w:rPr>
        <w:t>a ward at GSTT</w:t>
      </w:r>
      <w:r>
        <w:rPr>
          <w:rFonts w:ascii="Arial" w:hAnsi="Arial" w:cs="Arial"/>
          <w:szCs w:val="24"/>
        </w:rPr>
        <w:t>;</w:t>
      </w:r>
      <w:r w:rsidRPr="00AE58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2.) </w:t>
      </w:r>
      <w:r w:rsidRPr="00AE5853">
        <w:rPr>
          <w:rFonts w:ascii="Arial" w:hAnsi="Arial" w:cs="Arial"/>
          <w:szCs w:val="24"/>
        </w:rPr>
        <w:t>direct discharge home following appropriate recovery</w:t>
      </w:r>
      <w:r>
        <w:rPr>
          <w:rFonts w:ascii="Arial" w:hAnsi="Arial" w:cs="Arial"/>
          <w:szCs w:val="24"/>
        </w:rPr>
        <w:t>;</w:t>
      </w:r>
      <w:r w:rsidRPr="00AE5853">
        <w:rPr>
          <w:rFonts w:ascii="Arial" w:hAnsi="Arial" w:cs="Arial"/>
          <w:szCs w:val="24"/>
        </w:rPr>
        <w:t xml:space="preserve"> or </w:t>
      </w:r>
      <w:r>
        <w:rPr>
          <w:rFonts w:ascii="Arial" w:hAnsi="Arial" w:cs="Arial"/>
          <w:szCs w:val="24"/>
        </w:rPr>
        <w:t xml:space="preserve">3.) </w:t>
      </w:r>
      <w:r w:rsidRPr="00AE5853">
        <w:rPr>
          <w:rFonts w:ascii="Arial" w:hAnsi="Arial" w:cs="Arial"/>
          <w:szCs w:val="24"/>
        </w:rPr>
        <w:t xml:space="preserve">transfer back to the receiving hospital. 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Cath lab coordinator or assigned person responsible for the treat and transfer pathway receives request for treat and transfer</w:t>
      </w:r>
      <w:r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They contact the referring hospital ward/physician and gather more information</w:t>
      </w:r>
      <w:r>
        <w:rPr>
          <w:rFonts w:ascii="Arial" w:hAnsi="Arial" w:cs="Arial"/>
          <w:szCs w:val="24"/>
        </w:rPr>
        <w:t>.</w:t>
      </w:r>
    </w:p>
    <w:p w:rsidR="00AE5853" w:rsidRPr="00AE5853" w:rsidRDefault="00AE5853" w:rsidP="00403DC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They ask infection status, if COVID symptoms, if swabbed</w:t>
      </w:r>
      <w:r w:rsidRPr="00AE5853"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/</w:t>
      </w:r>
      <w:r w:rsidRPr="00AE5853"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results</w:t>
      </w:r>
      <w:r w:rsidRPr="00AE585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br/>
      </w:r>
      <w:r w:rsidRPr="00AE5853">
        <w:rPr>
          <w:rFonts w:ascii="Arial" w:hAnsi="Arial" w:cs="Arial"/>
          <w:szCs w:val="24"/>
        </w:rPr>
        <w:t xml:space="preserve">They then contact </w:t>
      </w:r>
    </w:p>
    <w:p w:rsidR="00AE5853" w:rsidRPr="00AE5853" w:rsidRDefault="00AE5853" w:rsidP="00AE5853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Brian Clapp if interventional procedure required</w:t>
      </w:r>
    </w:p>
    <w:p w:rsidR="00AE5853" w:rsidRPr="00AE5853" w:rsidRDefault="00AE5853" w:rsidP="00AE5853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Mark O’Neill if EP</w:t>
      </w:r>
      <w:r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CRM procedure required</w:t>
      </w:r>
    </w:p>
    <w:p w:rsidR="00AE5853" w:rsidRPr="00AE5853" w:rsidRDefault="00AE5853" w:rsidP="00AE5853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All scheduling to go through the scheduling team which is coordinated by Ala Salameh: </w:t>
      </w:r>
      <w:hyperlink r:id="rId7" w:history="1">
        <w:r w:rsidRPr="00245AC1">
          <w:rPr>
            <w:rStyle w:val="Hyperlink"/>
            <w:rFonts w:ascii="Arial" w:hAnsi="Arial" w:cs="Arial"/>
            <w:szCs w:val="24"/>
          </w:rPr>
          <w:t>ala.salameh@gstt.nhs.uk</w:t>
        </w:r>
      </w:hyperlink>
      <w:r>
        <w:rPr>
          <w:rFonts w:ascii="Arial" w:hAnsi="Arial" w:cs="Arial"/>
          <w:szCs w:val="24"/>
        </w:rPr>
        <w:t xml:space="preserve"> </w:t>
      </w:r>
    </w:p>
    <w:p w:rsidR="00AE5853" w:rsidRPr="00AE5853" w:rsidRDefault="00AE5853" w:rsidP="00AE5853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b/>
          <w:szCs w:val="24"/>
        </w:rPr>
      </w:pPr>
      <w:r w:rsidRPr="00AE5853">
        <w:rPr>
          <w:rFonts w:ascii="Arial" w:hAnsi="Arial" w:cs="Arial"/>
          <w:b/>
          <w:szCs w:val="24"/>
        </w:rPr>
        <w:t xml:space="preserve">If the patient is a RED pathway patient, COVID Positive treat and transfer please see section below. </w:t>
      </w:r>
      <w:proofErr w:type="gramStart"/>
      <w:r w:rsidRPr="00AE5853">
        <w:rPr>
          <w:rFonts w:ascii="Arial" w:hAnsi="Arial" w:cs="Arial"/>
          <w:b/>
          <w:szCs w:val="24"/>
        </w:rPr>
        <w:t>Otherwise</w:t>
      </w:r>
      <w:proofErr w:type="gramEnd"/>
      <w:r w:rsidRPr="00AE5853">
        <w:rPr>
          <w:rFonts w:ascii="Arial" w:hAnsi="Arial" w:cs="Arial"/>
          <w:b/>
          <w:szCs w:val="24"/>
        </w:rPr>
        <w:t xml:space="preserve"> ALL treat and transfers are considered AMBER. 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patient </w:t>
      </w:r>
      <w:proofErr w:type="gramStart"/>
      <w:r w:rsidRPr="00AE5853">
        <w:rPr>
          <w:rFonts w:ascii="Arial" w:hAnsi="Arial" w:cs="Arial"/>
          <w:szCs w:val="24"/>
        </w:rPr>
        <w:t>will be assigned</w:t>
      </w:r>
      <w:proofErr w:type="gramEnd"/>
      <w:r w:rsidRPr="00AE5853">
        <w:rPr>
          <w:rFonts w:ascii="Arial" w:hAnsi="Arial" w:cs="Arial"/>
          <w:szCs w:val="24"/>
        </w:rPr>
        <w:t xml:space="preserve"> a date and time of arrival to the main door of 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</w:t>
      </w:r>
      <w:r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Treat and transfer coordinator to communicate this to the referring hospital and ensure transport arranged</w:t>
      </w:r>
      <w:r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referring hospital to be informed that patient notes are to </w:t>
      </w:r>
      <w:proofErr w:type="gramStart"/>
      <w:r w:rsidRPr="00AE5853">
        <w:rPr>
          <w:rFonts w:ascii="Arial" w:hAnsi="Arial" w:cs="Arial"/>
          <w:szCs w:val="24"/>
        </w:rPr>
        <w:t>be bagged</w:t>
      </w:r>
      <w:proofErr w:type="gramEnd"/>
      <w:r w:rsidRPr="00AE5853">
        <w:rPr>
          <w:rFonts w:ascii="Arial" w:hAnsi="Arial" w:cs="Arial"/>
          <w:szCs w:val="24"/>
        </w:rPr>
        <w:t xml:space="preserve"> for transfer</w:t>
      </w:r>
      <w:r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spacing w:after="100" w:afterAutospacing="1" w:line="269" w:lineRule="auto"/>
        <w:rPr>
          <w:rFonts w:ascii="Arial" w:hAnsi="Arial" w:cs="Arial"/>
          <w:b/>
          <w:szCs w:val="24"/>
        </w:rPr>
      </w:pPr>
      <w:r w:rsidRPr="00AE5853">
        <w:rPr>
          <w:rFonts w:ascii="Arial" w:hAnsi="Arial" w:cs="Arial"/>
          <w:b/>
          <w:szCs w:val="24"/>
        </w:rPr>
        <w:t>Pre-procedure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Patient transport to </w:t>
      </w:r>
      <w:proofErr w:type="gramStart"/>
      <w:r w:rsidRPr="00AE5853">
        <w:rPr>
          <w:rFonts w:ascii="Arial" w:hAnsi="Arial" w:cs="Arial"/>
          <w:szCs w:val="24"/>
        </w:rPr>
        <w:t>be met</w:t>
      </w:r>
      <w:proofErr w:type="gramEnd"/>
      <w:r w:rsidRPr="00AE5853">
        <w:rPr>
          <w:rFonts w:ascii="Arial" w:hAnsi="Arial" w:cs="Arial"/>
          <w:szCs w:val="24"/>
        </w:rPr>
        <w:t xml:space="preserve"> at the main entrance to the cardiac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department at the double doors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transport team are not to enter 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beyond the double doors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patient can be transferred directly into the </w:t>
      </w:r>
      <w:proofErr w:type="spellStart"/>
      <w:proofErr w:type="gramStart"/>
      <w:r w:rsidRPr="00322A22">
        <w:rPr>
          <w:rFonts w:ascii="Arial" w:hAnsi="Arial" w:cs="Arial"/>
          <w:b/>
          <w:szCs w:val="24"/>
        </w:rPr>
        <w:t>cath</w:t>
      </w:r>
      <w:proofErr w:type="spellEnd"/>
      <w:r w:rsidRPr="00322A22">
        <w:rPr>
          <w:rFonts w:ascii="Arial" w:hAnsi="Arial" w:cs="Arial"/>
          <w:b/>
          <w:szCs w:val="24"/>
        </w:rPr>
        <w:t xml:space="preserve"> lab </w:t>
      </w:r>
      <w:r w:rsidR="00322A22">
        <w:rPr>
          <w:rFonts w:ascii="Arial" w:hAnsi="Arial" w:cs="Arial"/>
          <w:b/>
          <w:szCs w:val="24"/>
        </w:rPr>
        <w:t>r</w:t>
      </w:r>
      <w:r w:rsidRPr="00322A22">
        <w:rPr>
          <w:rFonts w:ascii="Arial" w:hAnsi="Arial" w:cs="Arial"/>
          <w:b/>
          <w:szCs w:val="24"/>
        </w:rPr>
        <w:t>ecovery bay</w:t>
      </w:r>
      <w:proofErr w:type="gramEnd"/>
      <w:r w:rsidRPr="00322A22">
        <w:rPr>
          <w:rFonts w:ascii="Arial" w:hAnsi="Arial" w:cs="Arial"/>
          <w:b/>
          <w:szCs w:val="24"/>
        </w:rPr>
        <w:t xml:space="preserve"> if they are on an AMBER pathway</w:t>
      </w:r>
      <w:r w:rsidRPr="00AE5853">
        <w:rPr>
          <w:rFonts w:ascii="Arial" w:hAnsi="Arial" w:cs="Arial"/>
          <w:szCs w:val="24"/>
        </w:rPr>
        <w:t xml:space="preserve"> and transferred to the trolley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If patient notes have not been </w:t>
      </w:r>
      <w:proofErr w:type="gramStart"/>
      <w:r w:rsidRPr="00AE5853">
        <w:rPr>
          <w:rFonts w:ascii="Arial" w:hAnsi="Arial" w:cs="Arial"/>
          <w:szCs w:val="24"/>
        </w:rPr>
        <w:t>bagged</w:t>
      </w:r>
      <w:proofErr w:type="gramEnd"/>
      <w:r w:rsidRPr="00AE5853">
        <w:rPr>
          <w:rFonts w:ascii="Arial" w:hAnsi="Arial" w:cs="Arial"/>
          <w:szCs w:val="24"/>
        </w:rPr>
        <w:t xml:space="preserve"> they should be put into a bag prior to entering 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department. 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Take details</w:t>
      </w:r>
      <w:r w:rsidR="00322A22"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/</w:t>
      </w:r>
      <w:r w:rsidR="00322A22">
        <w:rPr>
          <w:rFonts w:ascii="Arial" w:hAnsi="Arial" w:cs="Arial"/>
          <w:szCs w:val="24"/>
        </w:rPr>
        <w:t xml:space="preserve"> </w:t>
      </w:r>
      <w:r w:rsidRPr="00AE5853">
        <w:rPr>
          <w:rFonts w:ascii="Arial" w:hAnsi="Arial" w:cs="Arial"/>
          <w:szCs w:val="24"/>
        </w:rPr>
        <w:t>contact phone number of the transport team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Evan Jones ward clerk to print labels and register patient </w:t>
      </w:r>
      <w:r w:rsidR="00322A22">
        <w:rPr>
          <w:rFonts w:ascii="Arial" w:hAnsi="Arial" w:cs="Arial"/>
          <w:szCs w:val="24"/>
        </w:rPr>
        <w:t>(</w:t>
      </w:r>
      <w:r w:rsidRPr="00AE5853">
        <w:rPr>
          <w:rFonts w:ascii="Arial" w:hAnsi="Arial" w:cs="Arial"/>
          <w:szCs w:val="24"/>
        </w:rPr>
        <w:t>if not already performed</w:t>
      </w:r>
      <w:r w:rsidR="00322A22">
        <w:rPr>
          <w:rFonts w:ascii="Arial" w:hAnsi="Arial" w:cs="Arial"/>
          <w:szCs w:val="24"/>
        </w:rPr>
        <w:t>)</w:t>
      </w:r>
      <w:r w:rsidRPr="00AE5853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On </w:t>
      </w:r>
      <w:proofErr w:type="gramStart"/>
      <w:r w:rsidRPr="00AE5853">
        <w:rPr>
          <w:rFonts w:ascii="Arial" w:hAnsi="Arial" w:cs="Arial"/>
          <w:szCs w:val="24"/>
        </w:rPr>
        <w:t>arrival</w:t>
      </w:r>
      <w:proofErr w:type="gramEnd"/>
      <w:r w:rsidRPr="00AE5853">
        <w:rPr>
          <w:rFonts w:ascii="Arial" w:hAnsi="Arial" w:cs="Arial"/>
          <w:szCs w:val="24"/>
        </w:rPr>
        <w:t xml:space="preserve"> the patient is asked to use alcohol hand gel to clean their hands and place a mask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If not in a gown, to put a gown on and bag their personal belongings/clothes.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Check list complete, cannula sited if applicable, and bloods taken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322A22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Cath l</w:t>
      </w:r>
      <w:r w:rsidR="00AE5853" w:rsidRPr="00AE5853">
        <w:rPr>
          <w:rFonts w:ascii="Arial" w:hAnsi="Arial" w:cs="Arial"/>
          <w:szCs w:val="24"/>
        </w:rPr>
        <w:t xml:space="preserve">ab </w:t>
      </w:r>
      <w:r>
        <w:rPr>
          <w:rFonts w:ascii="Arial" w:hAnsi="Arial" w:cs="Arial"/>
          <w:szCs w:val="24"/>
        </w:rPr>
        <w:t>r</w:t>
      </w:r>
      <w:r w:rsidR="00AE5853" w:rsidRPr="00AE5853">
        <w:rPr>
          <w:rFonts w:ascii="Arial" w:hAnsi="Arial" w:cs="Arial"/>
          <w:szCs w:val="24"/>
        </w:rPr>
        <w:t>egistrar to ensure:</w:t>
      </w:r>
    </w:p>
    <w:p w:rsidR="00AE5853" w:rsidRPr="00AE5853" w:rsidRDefault="00AE5853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Consent </w:t>
      </w:r>
    </w:p>
    <w:p w:rsidR="00AE5853" w:rsidRPr="00AE5853" w:rsidRDefault="00322A22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E5853" w:rsidRPr="00AE5853">
        <w:rPr>
          <w:rFonts w:ascii="Arial" w:hAnsi="Arial" w:cs="Arial"/>
          <w:szCs w:val="24"/>
        </w:rPr>
        <w:t>re-medication prescribed</w:t>
      </w:r>
    </w:p>
    <w:p w:rsidR="00AE5853" w:rsidRPr="00AE5853" w:rsidRDefault="00AE5853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lastRenderedPageBreak/>
        <w:t xml:space="preserve">Site of procedure marked </w:t>
      </w:r>
      <w:r w:rsidR="00322A22">
        <w:rPr>
          <w:rFonts w:ascii="Arial" w:hAnsi="Arial" w:cs="Arial"/>
          <w:szCs w:val="24"/>
        </w:rPr>
        <w:t>(</w:t>
      </w:r>
      <w:r w:rsidRPr="00AE5853">
        <w:rPr>
          <w:rFonts w:ascii="Arial" w:hAnsi="Arial" w:cs="Arial"/>
          <w:szCs w:val="24"/>
        </w:rPr>
        <w:t>if applicable</w:t>
      </w:r>
      <w:r w:rsidR="00322A22">
        <w:rPr>
          <w:rFonts w:ascii="Arial" w:hAnsi="Arial" w:cs="Arial"/>
          <w:szCs w:val="24"/>
        </w:rPr>
        <w:t>)</w:t>
      </w:r>
    </w:p>
    <w:p w:rsidR="00AE5853" w:rsidRPr="00AE5853" w:rsidRDefault="00AE5853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Ensure cannula in correct location (if applicable)</w:t>
      </w:r>
    </w:p>
    <w:p w:rsidR="00AE5853" w:rsidRPr="00AE5853" w:rsidRDefault="00AE5853" w:rsidP="00AE5853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Patient notes, consent form, labels, checklist to </w:t>
      </w:r>
      <w:proofErr w:type="gramStart"/>
      <w:r w:rsidRPr="00AE5853">
        <w:rPr>
          <w:rFonts w:ascii="Arial" w:hAnsi="Arial" w:cs="Arial"/>
          <w:szCs w:val="24"/>
        </w:rPr>
        <w:t>be bagged</w:t>
      </w:r>
      <w:proofErr w:type="gramEnd"/>
      <w:r w:rsidRPr="00AE5853">
        <w:rPr>
          <w:rFonts w:ascii="Arial" w:hAnsi="Arial" w:cs="Arial"/>
          <w:szCs w:val="24"/>
        </w:rPr>
        <w:t xml:space="preserve"> and to be brought into 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only. Not to be brought into the control rooms. </w:t>
      </w:r>
    </w:p>
    <w:p w:rsidR="00AE5853" w:rsidRPr="00322A22" w:rsidRDefault="00AE5853" w:rsidP="00AE5853">
      <w:pPr>
        <w:spacing w:after="100" w:afterAutospacing="1" w:line="269" w:lineRule="auto"/>
        <w:rPr>
          <w:rFonts w:ascii="Arial" w:hAnsi="Arial" w:cs="Arial"/>
          <w:b/>
          <w:szCs w:val="24"/>
        </w:rPr>
      </w:pPr>
      <w:r w:rsidRPr="00322A22">
        <w:rPr>
          <w:rFonts w:ascii="Arial" w:hAnsi="Arial" w:cs="Arial"/>
          <w:b/>
          <w:szCs w:val="24"/>
        </w:rPr>
        <w:t>Procedure performed</w:t>
      </w:r>
    </w:p>
    <w:p w:rsidR="00AE5853" w:rsidRPr="00322A22" w:rsidRDefault="00322A22" w:rsidP="00AE5853">
      <w:pPr>
        <w:spacing w:after="100" w:afterAutospacing="1" w:line="26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 procedure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Confirm the patient should return to referring hospital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Arrange appropriate transfer back to returning hospital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If transport an issue, to contact the SNP or our site transport – In hours Matron of the day 0910; out of hours SNP</w:t>
      </w:r>
    </w:p>
    <w:p w:rsidR="00AE5853" w:rsidRPr="00AE5853" w:rsidRDefault="00AE5853" w:rsidP="00AE5853">
      <w:pPr>
        <w:spacing w:after="100" w:afterAutospacing="1" w:line="269" w:lineRule="auto"/>
        <w:rPr>
          <w:rFonts w:ascii="Arial" w:hAnsi="Arial" w:cs="Arial"/>
          <w:szCs w:val="24"/>
        </w:rPr>
      </w:pPr>
      <w:r w:rsidRPr="00322A22">
        <w:rPr>
          <w:rFonts w:ascii="Arial" w:hAnsi="Arial" w:cs="Arial"/>
          <w:b/>
          <w:szCs w:val="24"/>
        </w:rPr>
        <w:t>Exceptions</w:t>
      </w:r>
    </w:p>
    <w:p w:rsidR="00AE5853" w:rsidRPr="00322A22" w:rsidRDefault="00AE5853" w:rsidP="00322A22">
      <w:pPr>
        <w:pStyle w:val="ListParagraph"/>
        <w:numPr>
          <w:ilvl w:val="0"/>
          <w:numId w:val="26"/>
        </w:numPr>
        <w:spacing w:after="100" w:afterAutospacing="1" w:line="269" w:lineRule="auto"/>
        <w:rPr>
          <w:rFonts w:ascii="Arial" w:hAnsi="Arial" w:cs="Arial"/>
          <w:b/>
          <w:color w:val="005EB8"/>
          <w:szCs w:val="24"/>
        </w:rPr>
      </w:pPr>
      <w:r w:rsidRPr="00322A22">
        <w:rPr>
          <w:rFonts w:ascii="Arial" w:hAnsi="Arial" w:cs="Arial"/>
          <w:b/>
          <w:color w:val="005EB8"/>
          <w:szCs w:val="24"/>
        </w:rPr>
        <w:t xml:space="preserve">Treat and discharge home the same day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Recovery team will contact escort and assess feasibility of transfer home, location of home, is there someone to stay with the patient for 24 hours etc.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If deemed appropriate to transfer home then nursing staff in recovery will contact referring hospital, inform of discharge and advise the escort to </w:t>
      </w:r>
      <w:proofErr w:type="gramStart"/>
      <w:r w:rsidRPr="00AE5853">
        <w:rPr>
          <w:rFonts w:ascii="Arial" w:hAnsi="Arial" w:cs="Arial"/>
          <w:szCs w:val="24"/>
        </w:rPr>
        <w:t>be contacted</w:t>
      </w:r>
      <w:proofErr w:type="gramEnd"/>
      <w:r w:rsidRPr="00AE5853">
        <w:rPr>
          <w:rFonts w:ascii="Arial" w:hAnsi="Arial" w:cs="Arial"/>
          <w:szCs w:val="24"/>
        </w:rPr>
        <w:t xml:space="preserve"> re patient belongings and property</w:t>
      </w:r>
      <w:bookmarkStart w:id="0" w:name="_GoBack"/>
      <w:bookmarkEnd w:id="0"/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Pharmacy to </w:t>
      </w:r>
      <w:proofErr w:type="gramStart"/>
      <w:r w:rsidRPr="00AE5853">
        <w:rPr>
          <w:rFonts w:ascii="Arial" w:hAnsi="Arial" w:cs="Arial"/>
          <w:szCs w:val="24"/>
        </w:rPr>
        <w:t>be bleeped</w:t>
      </w:r>
      <w:proofErr w:type="gramEnd"/>
      <w:r w:rsidRPr="00AE5853">
        <w:rPr>
          <w:rFonts w:ascii="Arial" w:hAnsi="Arial" w:cs="Arial"/>
          <w:szCs w:val="24"/>
        </w:rPr>
        <w:t xml:space="preserve"> and medication to be delivered to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main entrance where a signed EDL will be given to pharmacy upon receipt of the medications.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Escort updated on time to collect patient and to meet the patient at the lower ground floor, Lambeth Wing, pick up/drop off point. They are not to enter the hospital.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staff to transfer patient down to pick up site above. </w:t>
      </w:r>
    </w:p>
    <w:p w:rsidR="00AE5853" w:rsidRPr="00AE5853" w:rsidRDefault="00AE5853" w:rsidP="00AE5853">
      <w:pPr>
        <w:spacing w:after="100" w:afterAutospacing="1" w:line="269" w:lineRule="auto"/>
        <w:rPr>
          <w:rFonts w:ascii="Arial" w:hAnsi="Arial" w:cs="Arial"/>
          <w:szCs w:val="24"/>
        </w:rPr>
      </w:pPr>
    </w:p>
    <w:p w:rsidR="00AE5853" w:rsidRPr="00322A22" w:rsidRDefault="00AE5853" w:rsidP="00322A22">
      <w:pPr>
        <w:pStyle w:val="ListParagraph"/>
        <w:numPr>
          <w:ilvl w:val="0"/>
          <w:numId w:val="26"/>
        </w:numPr>
        <w:spacing w:after="100" w:afterAutospacing="1" w:line="269" w:lineRule="auto"/>
        <w:rPr>
          <w:rFonts w:ascii="Arial" w:hAnsi="Arial" w:cs="Arial"/>
          <w:b/>
          <w:color w:val="005EB8"/>
          <w:szCs w:val="24"/>
        </w:rPr>
      </w:pPr>
      <w:r w:rsidRPr="00322A22">
        <w:rPr>
          <w:rFonts w:ascii="Arial" w:hAnsi="Arial" w:cs="Arial"/>
          <w:b/>
          <w:color w:val="005EB8"/>
          <w:szCs w:val="24"/>
        </w:rPr>
        <w:t xml:space="preserve">Treat and keep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This is if a complication or clinical need determines the patient should remain at GSTT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Recovery Amber pathway in the </w:t>
      </w:r>
      <w:proofErr w:type="spellStart"/>
      <w:r w:rsidRPr="00AE5853">
        <w:rPr>
          <w:rFonts w:ascii="Arial" w:hAnsi="Arial" w:cs="Arial"/>
          <w:szCs w:val="24"/>
        </w:rPr>
        <w:t>cath</w:t>
      </w:r>
      <w:proofErr w:type="spellEnd"/>
      <w:r w:rsidRPr="00AE5853">
        <w:rPr>
          <w:rFonts w:ascii="Arial" w:hAnsi="Arial" w:cs="Arial"/>
          <w:szCs w:val="24"/>
        </w:rPr>
        <w:t xml:space="preserve"> lab Recovery.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Contact SNP re beds and unknown COVID status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Call original hospital to inform the patient </w:t>
      </w:r>
      <w:proofErr w:type="gramStart"/>
      <w:r w:rsidRPr="00AE5853">
        <w:rPr>
          <w:rFonts w:ascii="Arial" w:hAnsi="Arial" w:cs="Arial"/>
          <w:szCs w:val="24"/>
        </w:rPr>
        <w:t>being kept</w:t>
      </w:r>
      <w:proofErr w:type="gramEnd"/>
    </w:p>
    <w:p w:rsidR="00AE5853" w:rsidRPr="00AE5853" w:rsidRDefault="00AE5853" w:rsidP="00AE5853">
      <w:pPr>
        <w:spacing w:after="100" w:afterAutospacing="1" w:line="269" w:lineRule="auto"/>
        <w:rPr>
          <w:rFonts w:ascii="Arial" w:hAnsi="Arial" w:cs="Arial"/>
          <w:szCs w:val="24"/>
        </w:rPr>
      </w:pPr>
    </w:p>
    <w:p w:rsidR="00AE5853" w:rsidRPr="00322A22" w:rsidRDefault="00AE5853" w:rsidP="00322A22">
      <w:pPr>
        <w:pStyle w:val="ListParagraph"/>
        <w:numPr>
          <w:ilvl w:val="0"/>
          <w:numId w:val="26"/>
        </w:numPr>
        <w:spacing w:after="100" w:afterAutospacing="1" w:line="269" w:lineRule="auto"/>
        <w:rPr>
          <w:rFonts w:ascii="Arial" w:hAnsi="Arial" w:cs="Arial"/>
          <w:b/>
          <w:color w:val="005EB8"/>
          <w:szCs w:val="24"/>
        </w:rPr>
      </w:pPr>
      <w:r w:rsidRPr="00322A22">
        <w:rPr>
          <w:rFonts w:ascii="Arial" w:hAnsi="Arial" w:cs="Arial"/>
          <w:b/>
          <w:color w:val="005EB8"/>
          <w:szCs w:val="24"/>
        </w:rPr>
        <w:t xml:space="preserve">Treat and Transfer Red Pathway 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This is for Confirmed COVID Positive Red Patients coming from another hospital</w:t>
      </w:r>
      <w:r w:rsidR="00322A22">
        <w:rPr>
          <w:rFonts w:ascii="Arial" w:hAnsi="Arial" w:cs="Arial"/>
          <w:szCs w:val="24"/>
        </w:rPr>
        <w:t>.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It is expected to be rare to require transfer of a patient between hospitals for an intervention who is COVID positive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>If it is required as a planned procedure the patient must be admitted to a side room on Stephen ward for the day to facilitate pre and post procedure care prior to transferring the patient back to the referring hospital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All of these cases </w:t>
      </w:r>
      <w:proofErr w:type="gramStart"/>
      <w:r w:rsidRPr="00AE5853">
        <w:rPr>
          <w:rFonts w:ascii="Arial" w:hAnsi="Arial" w:cs="Arial"/>
          <w:szCs w:val="24"/>
        </w:rPr>
        <w:t>must be identified</w:t>
      </w:r>
      <w:proofErr w:type="gramEnd"/>
      <w:r w:rsidRPr="00AE5853">
        <w:rPr>
          <w:rFonts w:ascii="Arial" w:hAnsi="Arial" w:cs="Arial"/>
          <w:szCs w:val="24"/>
        </w:rPr>
        <w:t xml:space="preserve"> at the scheduling point and coordination with the SNP to arrange an appropriate bed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They </w:t>
      </w:r>
      <w:proofErr w:type="gramStart"/>
      <w:r w:rsidRPr="00AE5853">
        <w:rPr>
          <w:rFonts w:ascii="Arial" w:hAnsi="Arial" w:cs="Arial"/>
          <w:szCs w:val="24"/>
        </w:rPr>
        <w:t>will be recovered</w:t>
      </w:r>
      <w:proofErr w:type="gramEnd"/>
      <w:r w:rsidRPr="00AE5853">
        <w:rPr>
          <w:rFonts w:ascii="Arial" w:hAnsi="Arial" w:cs="Arial"/>
          <w:szCs w:val="24"/>
        </w:rPr>
        <w:t xml:space="preserve"> in the lab and the procedure performed as per the RED pathway</w:t>
      </w:r>
    </w:p>
    <w:p w:rsidR="00AE5853" w:rsidRPr="00AE5853" w:rsidRDefault="00AE5853" w:rsidP="00322A22">
      <w:pPr>
        <w:pStyle w:val="ListParagraph"/>
        <w:numPr>
          <w:ilvl w:val="0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lastRenderedPageBreak/>
        <w:t xml:space="preserve">In the case of an </w:t>
      </w:r>
      <w:r w:rsidR="00322A22" w:rsidRPr="00322A22">
        <w:rPr>
          <w:rFonts w:ascii="Arial" w:hAnsi="Arial" w:cs="Arial"/>
          <w:b/>
          <w:szCs w:val="24"/>
        </w:rPr>
        <w:t>e</w:t>
      </w:r>
      <w:r w:rsidRPr="00322A22">
        <w:rPr>
          <w:rFonts w:ascii="Arial" w:hAnsi="Arial" w:cs="Arial"/>
          <w:b/>
          <w:szCs w:val="24"/>
        </w:rPr>
        <w:t xml:space="preserve">mergency </w:t>
      </w:r>
      <w:r w:rsidR="00322A22" w:rsidRPr="00322A22">
        <w:rPr>
          <w:rFonts w:ascii="Arial" w:hAnsi="Arial" w:cs="Arial"/>
          <w:b/>
          <w:szCs w:val="24"/>
        </w:rPr>
        <w:t>t</w:t>
      </w:r>
      <w:r w:rsidRPr="00322A22">
        <w:rPr>
          <w:rFonts w:ascii="Arial" w:hAnsi="Arial" w:cs="Arial"/>
          <w:b/>
          <w:szCs w:val="24"/>
        </w:rPr>
        <w:t xml:space="preserve">reat and </w:t>
      </w:r>
      <w:r w:rsidR="00322A22" w:rsidRPr="00322A22">
        <w:rPr>
          <w:rFonts w:ascii="Arial" w:hAnsi="Arial" w:cs="Arial"/>
          <w:b/>
          <w:szCs w:val="24"/>
        </w:rPr>
        <w:t>t</w:t>
      </w:r>
      <w:r w:rsidRPr="00322A22">
        <w:rPr>
          <w:rFonts w:ascii="Arial" w:hAnsi="Arial" w:cs="Arial"/>
          <w:b/>
          <w:szCs w:val="24"/>
        </w:rPr>
        <w:t>ransfer</w:t>
      </w:r>
      <w:r w:rsidRPr="00AE5853">
        <w:rPr>
          <w:rFonts w:ascii="Arial" w:hAnsi="Arial" w:cs="Arial"/>
          <w:szCs w:val="24"/>
        </w:rPr>
        <w:t>:</w:t>
      </w:r>
    </w:p>
    <w:p w:rsidR="00AE5853" w:rsidRPr="00322A22" w:rsidRDefault="00AE5853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b/>
          <w:szCs w:val="24"/>
        </w:rPr>
      </w:pPr>
      <w:r w:rsidRPr="00322A22">
        <w:rPr>
          <w:rFonts w:ascii="Arial" w:hAnsi="Arial" w:cs="Arial"/>
          <w:b/>
          <w:szCs w:val="24"/>
        </w:rPr>
        <w:t xml:space="preserve">Transfer and accept directly into the </w:t>
      </w:r>
      <w:proofErr w:type="spellStart"/>
      <w:r w:rsidRPr="00322A22">
        <w:rPr>
          <w:rFonts w:ascii="Arial" w:hAnsi="Arial" w:cs="Arial"/>
          <w:b/>
          <w:szCs w:val="24"/>
        </w:rPr>
        <w:t>cath</w:t>
      </w:r>
      <w:proofErr w:type="spellEnd"/>
      <w:r w:rsidRPr="00322A22">
        <w:rPr>
          <w:rFonts w:ascii="Arial" w:hAnsi="Arial" w:cs="Arial"/>
          <w:b/>
          <w:szCs w:val="24"/>
        </w:rPr>
        <w:t xml:space="preserve"> lab where procedure is to </w:t>
      </w:r>
      <w:proofErr w:type="gramStart"/>
      <w:r w:rsidRPr="00322A22">
        <w:rPr>
          <w:rFonts w:ascii="Arial" w:hAnsi="Arial" w:cs="Arial"/>
          <w:b/>
          <w:szCs w:val="24"/>
        </w:rPr>
        <w:t>be performed</w:t>
      </w:r>
      <w:proofErr w:type="gramEnd"/>
      <w:r w:rsidR="00322A22">
        <w:rPr>
          <w:rFonts w:ascii="Arial" w:hAnsi="Arial" w:cs="Arial"/>
          <w:b/>
          <w:szCs w:val="24"/>
        </w:rPr>
        <w:t>.</w:t>
      </w:r>
    </w:p>
    <w:p w:rsidR="00AE5853" w:rsidRPr="00AE5853" w:rsidRDefault="00AE5853" w:rsidP="00322A22">
      <w:pPr>
        <w:pStyle w:val="ListParagraph"/>
        <w:numPr>
          <w:ilvl w:val="1"/>
          <w:numId w:val="23"/>
        </w:numPr>
        <w:spacing w:after="100" w:afterAutospacing="1" w:line="269" w:lineRule="auto"/>
        <w:contextualSpacing w:val="0"/>
        <w:rPr>
          <w:rFonts w:ascii="Arial" w:hAnsi="Arial" w:cs="Arial"/>
          <w:szCs w:val="24"/>
        </w:rPr>
      </w:pPr>
      <w:r w:rsidRPr="00AE5853">
        <w:rPr>
          <w:rFonts w:ascii="Arial" w:hAnsi="Arial" w:cs="Arial"/>
          <w:szCs w:val="24"/>
        </w:rPr>
        <w:t xml:space="preserve">If the </w:t>
      </w:r>
      <w:r w:rsidR="00322A22">
        <w:rPr>
          <w:rFonts w:ascii="Arial" w:hAnsi="Arial" w:cs="Arial"/>
          <w:szCs w:val="24"/>
        </w:rPr>
        <w:t>l</w:t>
      </w:r>
      <w:r w:rsidRPr="00AE5853">
        <w:rPr>
          <w:rFonts w:ascii="Arial" w:hAnsi="Arial" w:cs="Arial"/>
          <w:szCs w:val="24"/>
        </w:rPr>
        <w:t xml:space="preserve">ab is unavailable, the temporary holding bay will be </w:t>
      </w:r>
      <w:r w:rsidRPr="00322A22">
        <w:rPr>
          <w:rFonts w:ascii="Arial" w:hAnsi="Arial" w:cs="Arial"/>
          <w:b/>
          <w:szCs w:val="24"/>
        </w:rPr>
        <w:t>Lab 2</w:t>
      </w:r>
      <w:r w:rsidRPr="00AE5853">
        <w:rPr>
          <w:rFonts w:ascii="Arial" w:hAnsi="Arial" w:cs="Arial"/>
          <w:szCs w:val="24"/>
        </w:rPr>
        <w:t xml:space="preserve">. </w:t>
      </w:r>
    </w:p>
    <w:p w:rsidR="00D97E41" w:rsidRPr="0034068C" w:rsidRDefault="00D97E41" w:rsidP="00AE5853">
      <w:pPr>
        <w:rPr>
          <w:rFonts w:ascii="Arial" w:hAnsi="Arial" w:cs="Arial"/>
          <w:szCs w:val="24"/>
        </w:rPr>
      </w:pPr>
    </w:p>
    <w:sectPr w:rsidR="00D97E41" w:rsidRPr="0034068C" w:rsidSect="00025B28">
      <w:headerReference w:type="default" r:id="rId8"/>
      <w:headerReference w:type="first" r:id="rId9"/>
      <w:pgSz w:w="11906" w:h="16838" w:code="9"/>
      <w:pgMar w:top="1673" w:right="1416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3" name="Picture 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4" name="Picture 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BC2"/>
    <w:multiLevelType w:val="hybridMultilevel"/>
    <w:tmpl w:val="A2F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44F"/>
    <w:multiLevelType w:val="hybridMultilevel"/>
    <w:tmpl w:val="63E6EE1E"/>
    <w:lvl w:ilvl="0" w:tplc="3984D4EE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F2752"/>
    <w:multiLevelType w:val="hybridMultilevel"/>
    <w:tmpl w:val="6CFA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5114F"/>
    <w:multiLevelType w:val="hybridMultilevel"/>
    <w:tmpl w:val="575E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F3C5C"/>
    <w:multiLevelType w:val="hybridMultilevel"/>
    <w:tmpl w:val="9D147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D46BE"/>
    <w:multiLevelType w:val="hybridMultilevel"/>
    <w:tmpl w:val="47F6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C250D"/>
    <w:multiLevelType w:val="hybridMultilevel"/>
    <w:tmpl w:val="C17E7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427D"/>
    <w:multiLevelType w:val="hybridMultilevel"/>
    <w:tmpl w:val="EE1A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0"/>
  </w:num>
  <w:num w:numId="5">
    <w:abstractNumId w:val="7"/>
  </w:num>
  <w:num w:numId="6">
    <w:abstractNumId w:val="15"/>
  </w:num>
  <w:num w:numId="7">
    <w:abstractNumId w:val="22"/>
  </w:num>
  <w:num w:numId="8">
    <w:abstractNumId w:val="9"/>
  </w:num>
  <w:num w:numId="9">
    <w:abstractNumId w:val="11"/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20"/>
  </w:num>
  <w:num w:numId="20">
    <w:abstractNumId w:val="2"/>
  </w:num>
  <w:num w:numId="21">
    <w:abstractNumId w:val="12"/>
  </w:num>
  <w:num w:numId="22">
    <w:abstractNumId w:val="6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25B28"/>
    <w:rsid w:val="0005496B"/>
    <w:rsid w:val="00060F64"/>
    <w:rsid w:val="00153746"/>
    <w:rsid w:val="001A5D29"/>
    <w:rsid w:val="001B60D8"/>
    <w:rsid w:val="002D4FA0"/>
    <w:rsid w:val="002D5B0C"/>
    <w:rsid w:val="002E5220"/>
    <w:rsid w:val="00322A22"/>
    <w:rsid w:val="0034068C"/>
    <w:rsid w:val="00425CC1"/>
    <w:rsid w:val="00471275"/>
    <w:rsid w:val="004F3C19"/>
    <w:rsid w:val="005066CD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8C592B"/>
    <w:rsid w:val="009A1563"/>
    <w:rsid w:val="009E10CA"/>
    <w:rsid w:val="009E245D"/>
    <w:rsid w:val="00A678E2"/>
    <w:rsid w:val="00AE5853"/>
    <w:rsid w:val="00B206EA"/>
    <w:rsid w:val="00B67A99"/>
    <w:rsid w:val="00CB3947"/>
    <w:rsid w:val="00D558B0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.salameh@gst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10</TotalTime>
  <Pages>3</Pages>
  <Words>791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2020-05-20T09:11:00Z</dcterms:created>
  <dcterms:modified xsi:type="dcterms:W3CDTF">2020-05-20T09:22:00Z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